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674AA" w:rsidRDefault="00E674AA" w:rsidP="00E674AA">
      <w:pPr>
        <w:jc w:val="center"/>
        <w:rPr>
          <w:rFonts w:ascii="Verdana" w:hAnsi="Verdana" w:cs="Verdana"/>
          <w:b/>
          <w:sz w:val="28"/>
          <w:szCs w:val="28"/>
        </w:rPr>
      </w:pPr>
      <w:r>
        <w:rPr>
          <w:rFonts w:ascii="Verdana" w:hAnsi="Verdana" w:cs="Verdana"/>
          <w:b/>
          <w:sz w:val="32"/>
          <w:szCs w:val="32"/>
        </w:rPr>
        <w:t xml:space="preserve">Projet </w:t>
      </w:r>
      <w:r>
        <w:rPr>
          <w:rFonts w:ascii="Verdana" w:hAnsi="Verdana" w:cs="Verdana"/>
          <w:b/>
          <w:sz w:val="32"/>
          <w:szCs w:val="32"/>
        </w:rPr>
        <w:t>de volontariat</w:t>
      </w:r>
      <w:r>
        <w:rPr>
          <w:rFonts w:ascii="Verdana" w:hAnsi="Verdana" w:cs="Verdana"/>
          <w:b/>
          <w:sz w:val="32"/>
          <w:szCs w:val="32"/>
        </w:rPr>
        <w:t xml:space="preserve"> au Pérou </w:t>
      </w:r>
    </w:p>
    <w:p w:rsidR="00E674AA" w:rsidRDefault="00E674AA" w:rsidP="00E674AA">
      <w:pPr>
        <w:jc w:val="center"/>
        <w:rPr>
          <w:rFonts w:ascii="Verdana" w:hAnsi="Verdana" w:cs="Verdana"/>
          <w:b/>
          <w:sz w:val="28"/>
          <w:szCs w:val="28"/>
        </w:rPr>
      </w:pPr>
      <w:r>
        <w:rPr>
          <w:rFonts w:ascii="Verdana" w:hAnsi="Verdana" w:cs="Verdana"/>
          <w:b/>
          <w:sz w:val="28"/>
          <w:szCs w:val="28"/>
        </w:rPr>
        <w:t>Association partenaire : ASOTOURS</w:t>
      </w:r>
    </w:p>
    <w:p w:rsidR="00E674AA" w:rsidRDefault="00E674AA" w:rsidP="00E674AA">
      <w:pPr>
        <w:rPr>
          <w:rFonts w:ascii="Verdana" w:hAnsi="Verdana" w:cs="Verdana"/>
          <w:sz w:val="28"/>
          <w:szCs w:val="28"/>
        </w:rPr>
      </w:pPr>
    </w:p>
    <w:tbl>
      <w:tblPr>
        <w:tblW w:w="10437" w:type="dxa"/>
        <w:tblInd w:w="-694" w:type="dxa"/>
        <w:tblLayout w:type="fixed"/>
        <w:tblCellMar>
          <w:top w:w="15" w:type="dxa"/>
          <w:left w:w="15" w:type="dxa"/>
          <w:bottom w:w="15" w:type="dxa"/>
          <w:right w:w="15" w:type="dxa"/>
        </w:tblCellMar>
        <w:tblLook w:val="0000" w:firstRow="0" w:lastRow="0" w:firstColumn="0" w:lastColumn="0" w:noHBand="0" w:noVBand="0"/>
      </w:tblPr>
      <w:tblGrid>
        <w:gridCol w:w="10437"/>
      </w:tblGrid>
      <w:tr w:rsidR="00E674AA" w:rsidTr="00DC03F9">
        <w:tc>
          <w:tcPr>
            <w:tcW w:w="10437" w:type="dxa"/>
            <w:shd w:val="clear" w:color="auto" w:fill="FFFFFF"/>
            <w:vAlign w:val="center"/>
          </w:tcPr>
          <w:p w:rsidR="00E674AA" w:rsidRDefault="00E674AA" w:rsidP="00DC03F9">
            <w:pPr>
              <w:jc w:val="both"/>
              <w:rPr>
                <w:rFonts w:ascii="Verdana" w:hAnsi="Verdana" w:cs="Verdana"/>
                <w:bCs/>
                <w:color w:val="000000"/>
                <w:sz w:val="20"/>
                <w:szCs w:val="20"/>
              </w:rPr>
            </w:pPr>
            <w:r>
              <w:rPr>
                <w:rFonts w:ascii="Verdana" w:hAnsi="Verdana" w:cs="Verdana"/>
                <w:b/>
                <w:bCs/>
                <w:color w:val="000000"/>
                <w:sz w:val="20"/>
                <w:szCs w:val="20"/>
              </w:rPr>
              <w:t>L’association AEDES</w:t>
            </w:r>
            <w:r>
              <w:rPr>
                <w:rFonts w:ascii="Verdana" w:hAnsi="Verdana" w:cs="Verdana"/>
                <w:bCs/>
                <w:color w:val="000000"/>
                <w:sz w:val="20"/>
                <w:szCs w:val="20"/>
              </w:rPr>
              <w:t xml:space="preserve"> est une ONG, située dans la ville d'Arequipa. Cette association développe notamment des projets d'écotourisme avec les habitants de villages de haute montagne, situés dans la province de La Union (capitale Cotahuasi).</w:t>
            </w:r>
          </w:p>
          <w:p w:rsidR="00E674AA" w:rsidRDefault="00E674AA" w:rsidP="00DC03F9">
            <w:pPr>
              <w:jc w:val="both"/>
              <w:rPr>
                <w:rFonts w:ascii="Verdana" w:hAnsi="Verdana" w:cs="Verdana"/>
                <w:bCs/>
                <w:color w:val="000000"/>
                <w:sz w:val="20"/>
                <w:szCs w:val="20"/>
              </w:rPr>
            </w:pPr>
          </w:p>
          <w:p w:rsidR="00E674AA" w:rsidRDefault="00E674AA" w:rsidP="00DC03F9">
            <w:pPr>
              <w:jc w:val="both"/>
              <w:rPr>
                <w:rFonts w:ascii="Verdana" w:hAnsi="Verdana" w:cs="Verdana"/>
                <w:color w:val="000000"/>
                <w:sz w:val="20"/>
                <w:szCs w:val="20"/>
              </w:rPr>
            </w:pPr>
            <w:r>
              <w:rPr>
                <w:rFonts w:ascii="Verdana" w:hAnsi="Verdana" w:cs="Verdana"/>
                <w:bCs/>
                <w:color w:val="000000"/>
                <w:sz w:val="20"/>
                <w:szCs w:val="20"/>
              </w:rPr>
              <w:t xml:space="preserve">Aedes est spécialisée dans les projets de Développement Durable, et tente de renforcer les droits et la qualité des conditions de vie de population locale, notamment par la gestion de secteurs naturels protégés. L’association joue un rôle de relais institutionnel dans ces projets, et assure le contrôle de l’utilisation des ressources naturelles, l’application des normes officielles en vigueur, la formation des responsables des associations locales, l’assistance technique </w:t>
            </w:r>
          </w:p>
          <w:p w:rsidR="00E674AA" w:rsidRDefault="00E674AA" w:rsidP="00DC03F9">
            <w:pPr>
              <w:jc w:val="both"/>
              <w:rPr>
                <w:rFonts w:ascii="Verdana" w:hAnsi="Verdana" w:cs="Verdana"/>
                <w:color w:val="000000"/>
                <w:sz w:val="20"/>
                <w:szCs w:val="20"/>
              </w:rPr>
            </w:pPr>
          </w:p>
        </w:tc>
      </w:tr>
      <w:tr w:rsidR="00E674AA" w:rsidTr="00DC03F9">
        <w:tc>
          <w:tcPr>
            <w:tcW w:w="10437" w:type="dxa"/>
            <w:shd w:val="clear" w:color="auto" w:fill="FFFFFF"/>
            <w:vAlign w:val="center"/>
          </w:tcPr>
          <w:p w:rsidR="00E674AA" w:rsidRDefault="00E674AA" w:rsidP="00DC03F9">
            <w:pPr>
              <w:jc w:val="both"/>
            </w:pPr>
            <w:r>
              <w:rPr>
                <w:rStyle w:val="msg"/>
                <w:rFonts w:ascii="Verdana" w:hAnsi="Verdana" w:cs="Verdana"/>
                <w:b/>
                <w:bCs/>
                <w:sz w:val="20"/>
                <w:szCs w:val="20"/>
              </w:rPr>
              <w:t>TRAVAIL</w:t>
            </w:r>
            <w:r>
              <w:rPr>
                <w:sz w:val="20"/>
                <w:szCs w:val="20"/>
              </w:rPr>
              <w:br/>
            </w:r>
            <w:r>
              <w:rPr>
                <w:rStyle w:val="msg10"/>
                <w:rFonts w:ascii="Verdana" w:hAnsi="Verdana" w:cs="Verdana"/>
                <w:sz w:val="20"/>
                <w:szCs w:val="20"/>
              </w:rPr>
              <w:t>Vous serez accueillis par les responsables d’associations locales, regroupés sous le sigle ASOTOURS (partenaire d’Aedes) dans une ou deux communes de la région de Cotahuasi, afin de les aider à développer des projets d’écotourisme (accueil touristique respectueux de l’environnement, proche des habitants, et s’appuyant sur les structures existantes - logement chez l’habitant, etc.), ainsi qu’à l’amélioration des structures et infrastructures d’accueil (habitat rural d’accueil, sentiers de randonnée, sites naturels, etc). Une partie du séjour sera également consacrée à la découverte de la région, à travers les structures d’accueil éco touristiques mises en place (voir ci-dessous).</w:t>
            </w:r>
          </w:p>
          <w:p w:rsidR="00E674AA" w:rsidRDefault="00E674AA" w:rsidP="00DC03F9">
            <w:pPr>
              <w:jc w:val="both"/>
            </w:pPr>
          </w:p>
          <w:p w:rsidR="00E674AA" w:rsidRDefault="00E674AA" w:rsidP="00DC03F9">
            <w:pPr>
              <w:jc w:val="both"/>
              <w:rPr>
                <w:rStyle w:val="msg10"/>
                <w:rFonts w:ascii="Verdana" w:hAnsi="Verdana" w:cs="Verdana"/>
                <w:sz w:val="20"/>
                <w:szCs w:val="20"/>
              </w:rPr>
            </w:pPr>
            <w:r>
              <w:rPr>
                <w:rStyle w:val="msg10"/>
                <w:rFonts w:ascii="Verdana" w:hAnsi="Verdana" w:cs="Verdana"/>
                <w:sz w:val="20"/>
                <w:szCs w:val="20"/>
              </w:rPr>
              <w:t xml:space="preserve">Dans son projet actuel, Asotours travaille sur deux axes : </w:t>
            </w:r>
          </w:p>
          <w:p w:rsidR="00E674AA" w:rsidRDefault="00E674AA" w:rsidP="00DC03F9">
            <w:pPr>
              <w:jc w:val="both"/>
              <w:rPr>
                <w:rStyle w:val="msg10"/>
                <w:rFonts w:ascii="Verdana" w:hAnsi="Verdana" w:cs="Verdana"/>
                <w:sz w:val="20"/>
                <w:szCs w:val="20"/>
              </w:rPr>
            </w:pPr>
            <w:r>
              <w:rPr>
                <w:rStyle w:val="msg10"/>
                <w:rFonts w:ascii="Verdana" w:hAnsi="Verdana" w:cs="Verdana"/>
                <w:sz w:val="20"/>
                <w:szCs w:val="20"/>
              </w:rPr>
              <w:t xml:space="preserve">1) Le renforcement organisationnel qui permettra aux familles d’atteindre le double objectif de générer de nouveaux revenus et d’améliorer ainsi leur qualité de vie, en plus d’offrir un service apprécié des visiteurs, de manière organisée, légalisée et institutionnalisée. </w:t>
            </w:r>
          </w:p>
          <w:p w:rsidR="00E674AA" w:rsidRDefault="00E674AA" w:rsidP="00DC03F9">
            <w:pPr>
              <w:jc w:val="both"/>
              <w:rPr>
                <w:rFonts w:ascii="Verdana" w:hAnsi="Verdana" w:cs="Verdana"/>
                <w:bCs/>
                <w:color w:val="000000"/>
                <w:sz w:val="20"/>
                <w:szCs w:val="20"/>
              </w:rPr>
            </w:pPr>
            <w:r>
              <w:rPr>
                <w:rStyle w:val="msg10"/>
                <w:rFonts w:ascii="Verdana" w:hAnsi="Verdana" w:cs="Verdana"/>
                <w:sz w:val="20"/>
                <w:szCs w:val="20"/>
              </w:rPr>
              <w:t>2) La formation des habitants à une qualification touristique, ce qui permettra que les services touristiques mis en place soient de bonne qualité.</w:t>
            </w:r>
            <w:r>
              <w:rPr>
                <w:sz w:val="20"/>
                <w:szCs w:val="20"/>
              </w:rPr>
              <w:t xml:space="preserve"> </w:t>
            </w:r>
          </w:p>
          <w:p w:rsidR="00E674AA" w:rsidRDefault="00E674AA" w:rsidP="00DC03F9">
            <w:pPr>
              <w:jc w:val="both"/>
              <w:rPr>
                <w:rFonts w:ascii="Verdana" w:hAnsi="Verdana" w:cs="Verdana"/>
                <w:bCs/>
                <w:color w:val="000000"/>
                <w:sz w:val="20"/>
                <w:szCs w:val="20"/>
              </w:rPr>
            </w:pPr>
          </w:p>
          <w:p w:rsidR="00E674AA" w:rsidRDefault="00E674AA" w:rsidP="00DC03F9">
            <w:pPr>
              <w:jc w:val="both"/>
              <w:rPr>
                <w:rFonts w:ascii="Verdana" w:hAnsi="Verdana" w:cs="Verdana"/>
                <w:bCs/>
                <w:color w:val="000000"/>
                <w:sz w:val="20"/>
                <w:szCs w:val="20"/>
              </w:rPr>
            </w:pPr>
            <w:r>
              <w:rPr>
                <w:rFonts w:ascii="Verdana" w:hAnsi="Verdana" w:cs="Verdana"/>
                <w:b/>
                <w:bCs/>
                <w:color w:val="000000"/>
                <w:sz w:val="20"/>
                <w:szCs w:val="20"/>
              </w:rPr>
              <w:t xml:space="preserve">Contexte du projet : </w:t>
            </w:r>
          </w:p>
          <w:p w:rsidR="00E674AA" w:rsidRDefault="00E674AA" w:rsidP="00DC03F9">
            <w:pPr>
              <w:jc w:val="both"/>
              <w:rPr>
                <w:rFonts w:ascii="Verdana" w:hAnsi="Verdana" w:cs="Verdana"/>
                <w:bCs/>
                <w:color w:val="000000"/>
                <w:sz w:val="20"/>
                <w:szCs w:val="20"/>
              </w:rPr>
            </w:pPr>
            <w:r>
              <w:rPr>
                <w:rFonts w:ascii="Verdana" w:hAnsi="Verdana" w:cs="Verdana"/>
                <w:bCs/>
                <w:color w:val="000000"/>
                <w:sz w:val="20"/>
                <w:szCs w:val="20"/>
              </w:rPr>
              <w:t>Le projet de développement éco touristique s’appuie sur 10 associations partenaires locales, situées dans les districts de Pampamarca, Huaynacotas, Puyca, Alca, Charcana, Toro, Tomepampa, Antabamba, Cahuana et Locrahuanca, qui organisent l’accueil des volontaires (logement dans des maisons d’hôtes ou chez l’habitant, repas, guides, location de chevaux pour certains transports, organisation de visites, etc). L’objectif est de définir des activités touristiques durables propres a stimuler le développement économique de la région, promouvoir  de développer un tourisme responsable qui conserve la biodiversité et qui s’integre a l’économie locale.</w:t>
            </w:r>
          </w:p>
          <w:p w:rsidR="00E674AA" w:rsidRDefault="00E674AA" w:rsidP="00DC03F9">
            <w:pPr>
              <w:jc w:val="both"/>
              <w:rPr>
                <w:rFonts w:ascii="Verdana" w:hAnsi="Verdana" w:cs="Verdana"/>
                <w:bCs/>
                <w:color w:val="000000"/>
                <w:sz w:val="20"/>
                <w:szCs w:val="20"/>
              </w:rPr>
            </w:pPr>
          </w:p>
          <w:p w:rsidR="00E674AA" w:rsidRDefault="00E674AA" w:rsidP="00DC03F9">
            <w:pPr>
              <w:jc w:val="both"/>
              <w:rPr>
                <w:rFonts w:ascii="Verdana" w:hAnsi="Verdana" w:cs="Verdana"/>
                <w:bCs/>
                <w:color w:val="000000"/>
                <w:sz w:val="20"/>
                <w:szCs w:val="20"/>
              </w:rPr>
            </w:pPr>
            <w:r>
              <w:rPr>
                <w:rFonts w:ascii="Verdana" w:hAnsi="Verdana" w:cs="Verdana"/>
                <w:bCs/>
                <w:color w:val="000000"/>
                <w:sz w:val="20"/>
                <w:szCs w:val="20"/>
              </w:rPr>
              <w:t>Ce programme d’accueil éco touristique en est au stade de développement et de consolidation, et l’accueil de volontaires constitue un apport important qui permet aux membres des associations locales de mettre en pratique leur apprentissage dans le domaine de l’accueil d’éco touristes, et d’apporter ainsi des améliorations à leurs projets respectifs.</w:t>
            </w:r>
          </w:p>
          <w:p w:rsidR="00E674AA" w:rsidRDefault="00E674AA" w:rsidP="00DC03F9">
            <w:pPr>
              <w:jc w:val="both"/>
              <w:rPr>
                <w:rFonts w:ascii="Verdana" w:hAnsi="Verdana" w:cs="Verdana"/>
                <w:bCs/>
                <w:color w:val="000000"/>
                <w:sz w:val="20"/>
                <w:szCs w:val="20"/>
              </w:rPr>
            </w:pPr>
          </w:p>
          <w:p w:rsidR="00E674AA" w:rsidRDefault="00E674AA" w:rsidP="00DC03F9">
            <w:pPr>
              <w:jc w:val="both"/>
              <w:rPr>
                <w:rFonts w:ascii="Verdana" w:hAnsi="Verdana" w:cs="Verdana"/>
                <w:bCs/>
                <w:color w:val="000000"/>
                <w:sz w:val="20"/>
                <w:szCs w:val="20"/>
              </w:rPr>
            </w:pPr>
            <w:r>
              <w:rPr>
                <w:rFonts w:ascii="Verdana" w:hAnsi="Verdana" w:cs="Verdana"/>
                <w:bCs/>
                <w:color w:val="000000"/>
                <w:sz w:val="20"/>
                <w:szCs w:val="20"/>
              </w:rPr>
              <w:t>La finalité de ces projets (de type développement durable) est de permettre aux habitants d’avoir un revenu complémentaire, en dehors de leurs activités de base qui sont l’agriculture et l’élevage. L’activité éco touristique permet également à la population de revaloriser son identité culturelle ainsi que les ressources naturelles qu’elle possède.</w:t>
            </w:r>
          </w:p>
          <w:p w:rsidR="00E674AA" w:rsidRDefault="00E674AA" w:rsidP="00DC03F9">
            <w:pPr>
              <w:jc w:val="both"/>
              <w:rPr>
                <w:rFonts w:ascii="Verdana" w:hAnsi="Verdana" w:cs="Verdana"/>
                <w:bCs/>
                <w:color w:val="000000"/>
                <w:sz w:val="20"/>
                <w:szCs w:val="20"/>
              </w:rPr>
            </w:pPr>
          </w:p>
          <w:p w:rsidR="00E674AA" w:rsidRDefault="00E674AA" w:rsidP="00DC03F9">
            <w:pPr>
              <w:rPr>
                <w:rFonts w:ascii="Verdana" w:hAnsi="Verdana" w:cs="Verdana"/>
                <w:bCs/>
                <w:color w:val="000000"/>
                <w:sz w:val="20"/>
                <w:szCs w:val="20"/>
              </w:rPr>
            </w:pPr>
            <w:r>
              <w:rPr>
                <w:rFonts w:ascii="Verdana" w:hAnsi="Verdana" w:cs="Verdana"/>
                <w:bCs/>
                <w:color w:val="000000"/>
                <w:sz w:val="20"/>
                <w:szCs w:val="20"/>
              </w:rPr>
              <w:t xml:space="preserve">L’association Aedes organise régulièrement des réunions d’information avec ses 6 partenaires locaux, afin de préparer et d’évaluer l’accueil des volontaires. Les réunions préparatoires permettent d’établir le programme qui sera proposé aux volontaires, en fonction de la période l’année, des possibilités et </w:t>
            </w:r>
            <w:r>
              <w:rPr>
                <w:rFonts w:ascii="Verdana" w:hAnsi="Verdana" w:cs="Verdana"/>
                <w:bCs/>
                <w:color w:val="000000"/>
                <w:sz w:val="20"/>
                <w:szCs w:val="20"/>
              </w:rPr>
              <w:lastRenderedPageBreak/>
              <w:t xml:space="preserve">des besoins de chaque association locale (travail proposé, activités touristiques et de découverte de la région, type d’hébergement, localisation des activités parmi les 6 communautés, gestions des infrastructures d’accueil et des ressources naturelles, etc.). Le rôle institutionnel joué par Aedes se réduira à mesure que ces associations locales acquerront de l’expérience dans la gestion de leurs activités. </w:t>
            </w:r>
          </w:p>
          <w:p w:rsidR="00E674AA" w:rsidRDefault="00E674AA" w:rsidP="00DC03F9">
            <w:pPr>
              <w:rPr>
                <w:rFonts w:ascii="Verdana" w:hAnsi="Verdana" w:cs="Verdana"/>
                <w:bCs/>
                <w:color w:val="000000"/>
                <w:sz w:val="20"/>
                <w:szCs w:val="20"/>
              </w:rPr>
            </w:pPr>
          </w:p>
          <w:p w:rsidR="00E674AA" w:rsidRDefault="00E674AA" w:rsidP="00DC03F9">
            <w:pPr>
              <w:jc w:val="both"/>
              <w:rPr>
                <w:rFonts w:ascii="Verdana" w:hAnsi="Verdana" w:cs="Verdana"/>
                <w:bCs/>
                <w:color w:val="000000"/>
                <w:sz w:val="20"/>
                <w:szCs w:val="20"/>
              </w:rPr>
            </w:pPr>
            <w:r>
              <w:rPr>
                <w:rFonts w:ascii="Verdana" w:hAnsi="Verdana" w:cs="Verdana"/>
                <w:b/>
                <w:color w:val="000000"/>
                <w:sz w:val="20"/>
                <w:szCs w:val="20"/>
              </w:rPr>
              <w:t>Hébergement</w:t>
            </w:r>
          </w:p>
          <w:p w:rsidR="00E674AA" w:rsidRDefault="00E674AA" w:rsidP="00DC03F9">
            <w:pPr>
              <w:jc w:val="both"/>
              <w:rPr>
                <w:rFonts w:ascii="Verdana" w:hAnsi="Verdana" w:cs="Verdana"/>
                <w:bCs/>
                <w:color w:val="000000"/>
                <w:sz w:val="20"/>
                <w:szCs w:val="20"/>
              </w:rPr>
            </w:pPr>
            <w:r>
              <w:rPr>
                <w:rFonts w:ascii="Verdana" w:hAnsi="Verdana" w:cs="Verdana"/>
                <w:bCs/>
                <w:color w:val="000000"/>
                <w:sz w:val="20"/>
                <w:szCs w:val="20"/>
              </w:rPr>
              <w:t>Logement et repas chez les habitants, ou dans les maisons d’hôtes des associations locales de la région de Cotahuasi, partenaires d’Aedes.</w:t>
            </w:r>
          </w:p>
          <w:p w:rsidR="00E674AA" w:rsidRDefault="00E674AA" w:rsidP="00DC03F9">
            <w:pPr>
              <w:jc w:val="both"/>
              <w:rPr>
                <w:rFonts w:ascii="Verdana" w:hAnsi="Verdana" w:cs="Verdana"/>
                <w:bCs/>
                <w:color w:val="000000"/>
                <w:sz w:val="20"/>
                <w:szCs w:val="20"/>
              </w:rPr>
            </w:pPr>
          </w:p>
          <w:p w:rsidR="00E674AA" w:rsidRDefault="00E674AA" w:rsidP="00DC03F9">
            <w:pPr>
              <w:jc w:val="both"/>
              <w:rPr>
                <w:rFonts w:ascii="Verdana" w:hAnsi="Verdana" w:cs="Verdana"/>
                <w:bCs/>
                <w:color w:val="000000"/>
                <w:sz w:val="20"/>
                <w:szCs w:val="20"/>
              </w:rPr>
            </w:pPr>
            <w:r>
              <w:rPr>
                <w:rFonts w:ascii="Verdana" w:hAnsi="Verdana" w:cs="Verdana"/>
                <w:b/>
                <w:color w:val="000000"/>
                <w:sz w:val="20"/>
                <w:szCs w:val="20"/>
              </w:rPr>
              <w:t>Situation</w:t>
            </w:r>
          </w:p>
          <w:p w:rsidR="00E674AA" w:rsidRDefault="00E674AA" w:rsidP="00DC03F9">
            <w:pPr>
              <w:jc w:val="both"/>
              <w:rPr>
                <w:rFonts w:ascii="Verdana" w:hAnsi="Verdana" w:cs="Verdana"/>
                <w:bCs/>
                <w:color w:val="000000"/>
                <w:sz w:val="20"/>
                <w:szCs w:val="20"/>
              </w:rPr>
            </w:pPr>
            <w:r>
              <w:rPr>
                <w:rFonts w:ascii="Verdana" w:hAnsi="Verdana" w:cs="Verdana"/>
                <w:bCs/>
                <w:color w:val="000000"/>
                <w:sz w:val="20"/>
                <w:szCs w:val="20"/>
              </w:rPr>
              <w:t xml:space="preserve">Plusieurs villages de haute montagne dans la région de La Union : districts de Pampamarca, de Charcana, de Huaynacotas, Puyca, Alca et Toro. NB : la répartition des volontaires dans l'un des villages sera fixée à l'arrivée à chaque période de chantier. </w:t>
            </w:r>
          </w:p>
          <w:p w:rsidR="00E674AA" w:rsidRDefault="00E674AA" w:rsidP="00DC03F9">
            <w:pPr>
              <w:jc w:val="both"/>
              <w:rPr>
                <w:rFonts w:ascii="Verdana" w:hAnsi="Verdana" w:cs="Verdana"/>
                <w:bCs/>
                <w:color w:val="000000"/>
                <w:sz w:val="20"/>
                <w:szCs w:val="20"/>
              </w:rPr>
            </w:pPr>
          </w:p>
          <w:p w:rsidR="00E674AA" w:rsidRDefault="00E674AA" w:rsidP="00E674AA">
            <w:pPr>
              <w:widowControl/>
              <w:numPr>
                <w:ilvl w:val="0"/>
                <w:numId w:val="2"/>
              </w:numPr>
              <w:spacing w:after="80"/>
              <w:ind w:left="896" w:right="278" w:hanging="357"/>
              <w:jc w:val="both"/>
              <w:rPr>
                <w:rFonts w:ascii="Verdana" w:hAnsi="Verdana" w:cs="Verdana"/>
                <w:b/>
                <w:bCs/>
                <w:color w:val="000000"/>
                <w:sz w:val="20"/>
                <w:szCs w:val="20"/>
              </w:rPr>
            </w:pPr>
            <w:r>
              <w:rPr>
                <w:rFonts w:ascii="Verdana" w:hAnsi="Verdana" w:cs="Verdana"/>
                <w:b/>
                <w:bCs/>
                <w:color w:val="000000"/>
                <w:sz w:val="20"/>
                <w:szCs w:val="20"/>
              </w:rPr>
              <w:t>Charcana:</w:t>
            </w:r>
            <w:r>
              <w:rPr>
                <w:rStyle w:val="msg10"/>
                <w:rFonts w:ascii="Verdana" w:hAnsi="Verdana" w:cs="Verdana"/>
                <w:sz w:val="20"/>
                <w:szCs w:val="20"/>
              </w:rPr>
              <w:t xml:space="preserve"> village traditionnel, 647 habitants, 3417 mètres d’altitude. Moyen d’accès depuis Cotahuasi : 3 heures par la route</w:t>
            </w:r>
            <w:r>
              <w:rPr>
                <w:rFonts w:ascii="Verdana" w:hAnsi="Verdana" w:cs="Verdana"/>
                <w:bCs/>
                <w:color w:val="000000"/>
                <w:sz w:val="20"/>
                <w:szCs w:val="20"/>
              </w:rPr>
              <w:t>.</w:t>
            </w:r>
          </w:p>
          <w:p w:rsidR="00E674AA" w:rsidRDefault="00E674AA" w:rsidP="00E674AA">
            <w:pPr>
              <w:widowControl/>
              <w:numPr>
                <w:ilvl w:val="0"/>
                <w:numId w:val="2"/>
              </w:numPr>
              <w:spacing w:after="80"/>
              <w:ind w:left="896" w:right="278" w:hanging="357"/>
              <w:jc w:val="both"/>
              <w:rPr>
                <w:rFonts w:ascii="Verdana" w:hAnsi="Verdana" w:cs="Verdana"/>
                <w:b/>
                <w:bCs/>
                <w:color w:val="000000"/>
                <w:sz w:val="20"/>
                <w:szCs w:val="20"/>
              </w:rPr>
            </w:pPr>
            <w:r>
              <w:rPr>
                <w:rFonts w:ascii="Verdana" w:hAnsi="Verdana" w:cs="Verdana"/>
                <w:b/>
                <w:bCs/>
                <w:color w:val="000000"/>
                <w:sz w:val="20"/>
                <w:szCs w:val="20"/>
              </w:rPr>
              <w:t xml:space="preserve">Huaynacotas: </w:t>
            </w:r>
            <w:r>
              <w:rPr>
                <w:rStyle w:val="msg10"/>
                <w:rFonts w:ascii="Verdana" w:hAnsi="Verdana" w:cs="Verdana"/>
                <w:sz w:val="20"/>
                <w:szCs w:val="20"/>
              </w:rPr>
              <w:t>village de 2468 habitants, à 3380 mètres d’altitudes. Accès depuis Cotahuasi par la route (2 heures), puis marche durant 1 heure. Capitale de district : Taurisma.</w:t>
            </w:r>
          </w:p>
          <w:p w:rsidR="00E674AA" w:rsidRDefault="00E674AA" w:rsidP="00E674AA">
            <w:pPr>
              <w:widowControl/>
              <w:numPr>
                <w:ilvl w:val="0"/>
                <w:numId w:val="2"/>
              </w:numPr>
              <w:spacing w:after="80"/>
              <w:ind w:left="896" w:right="278" w:hanging="357"/>
              <w:jc w:val="both"/>
              <w:rPr>
                <w:rFonts w:ascii="Verdana" w:hAnsi="Verdana" w:cs="Verdana"/>
                <w:b/>
                <w:bCs/>
                <w:color w:val="000000"/>
                <w:sz w:val="20"/>
                <w:szCs w:val="20"/>
              </w:rPr>
            </w:pPr>
            <w:r>
              <w:rPr>
                <w:rFonts w:ascii="Verdana" w:hAnsi="Verdana" w:cs="Verdana"/>
                <w:b/>
                <w:bCs/>
                <w:color w:val="000000"/>
                <w:sz w:val="20"/>
                <w:szCs w:val="20"/>
              </w:rPr>
              <w:t>Pampamarca :</w:t>
            </w:r>
            <w:r>
              <w:rPr>
                <w:rFonts w:ascii="Verdana" w:hAnsi="Verdana" w:cs="Verdana"/>
                <w:bCs/>
                <w:color w:val="000000"/>
                <w:sz w:val="20"/>
                <w:szCs w:val="20"/>
              </w:rPr>
              <w:t xml:space="preserve"> </w:t>
            </w:r>
            <w:r>
              <w:rPr>
                <w:rStyle w:val="msg10"/>
                <w:rFonts w:ascii="Verdana" w:hAnsi="Verdana" w:cs="Verdana"/>
                <w:sz w:val="20"/>
                <w:szCs w:val="20"/>
              </w:rPr>
              <w:t>village de 1430 habitants, à 3380 mètres d’altitude. Accès depuis Cotahuasi : 2 heures par la route.</w:t>
            </w:r>
          </w:p>
          <w:p w:rsidR="00E674AA" w:rsidRDefault="00E674AA" w:rsidP="00E674AA">
            <w:pPr>
              <w:widowControl/>
              <w:numPr>
                <w:ilvl w:val="0"/>
                <w:numId w:val="2"/>
              </w:numPr>
              <w:spacing w:after="80"/>
              <w:ind w:left="896" w:right="278" w:hanging="357"/>
              <w:jc w:val="both"/>
              <w:rPr>
                <w:rFonts w:ascii="Verdana" w:hAnsi="Verdana" w:cs="Verdana"/>
                <w:b/>
                <w:bCs/>
                <w:color w:val="000000"/>
                <w:sz w:val="20"/>
                <w:szCs w:val="20"/>
              </w:rPr>
            </w:pPr>
            <w:r>
              <w:rPr>
                <w:rFonts w:ascii="Verdana" w:hAnsi="Verdana" w:cs="Verdana"/>
                <w:b/>
                <w:bCs/>
                <w:color w:val="000000"/>
                <w:sz w:val="20"/>
                <w:szCs w:val="20"/>
              </w:rPr>
              <w:t xml:space="preserve">Puyca : </w:t>
            </w:r>
            <w:r>
              <w:rPr>
                <w:rStyle w:val="msg10"/>
                <w:rFonts w:ascii="Verdana" w:hAnsi="Verdana" w:cs="Verdana"/>
                <w:sz w:val="20"/>
                <w:szCs w:val="20"/>
              </w:rPr>
              <w:t>village de 2886 habitants, à 3562 mètres d’altitude. Accès depuis Cotahuasi : par route, environ 2h30.</w:t>
            </w:r>
          </w:p>
          <w:p w:rsidR="00E674AA" w:rsidRDefault="00E674AA" w:rsidP="00E674AA">
            <w:pPr>
              <w:widowControl/>
              <w:numPr>
                <w:ilvl w:val="0"/>
                <w:numId w:val="2"/>
              </w:numPr>
              <w:spacing w:after="80"/>
              <w:ind w:left="896" w:right="278" w:hanging="357"/>
              <w:jc w:val="both"/>
              <w:rPr>
                <w:rFonts w:ascii="Verdana" w:hAnsi="Verdana" w:cs="Verdana"/>
                <w:b/>
                <w:bCs/>
                <w:color w:val="000000"/>
                <w:sz w:val="20"/>
                <w:szCs w:val="20"/>
              </w:rPr>
            </w:pPr>
            <w:r>
              <w:rPr>
                <w:rFonts w:ascii="Verdana" w:hAnsi="Verdana" w:cs="Verdana"/>
                <w:b/>
                <w:bCs/>
                <w:color w:val="000000"/>
                <w:sz w:val="20"/>
                <w:szCs w:val="20"/>
              </w:rPr>
              <w:t>Alca:</w:t>
            </w:r>
            <w:r>
              <w:rPr>
                <w:rFonts w:ascii="Verdana" w:hAnsi="Verdana" w:cs="Verdana"/>
                <w:bCs/>
                <w:color w:val="000000"/>
                <w:sz w:val="20"/>
                <w:szCs w:val="20"/>
              </w:rPr>
              <w:t xml:space="preserve"> </w:t>
            </w:r>
            <w:r>
              <w:rPr>
                <w:rStyle w:val="msg10"/>
                <w:rFonts w:ascii="Verdana" w:hAnsi="Verdana" w:cs="Verdana"/>
                <w:sz w:val="20"/>
                <w:szCs w:val="20"/>
              </w:rPr>
              <w:t>district situé à 2700 mètres d’altitude en bordure de la rivière Cotahuasi; il est divisé en trois villages. Le projet d’éco-tourisme est accueilli dans le village de Cahuana (à 1 heure de marche de Alca). Accès : une heure de route de Coatuhuasi a Alca.</w:t>
            </w:r>
          </w:p>
          <w:p w:rsidR="00E674AA" w:rsidRDefault="00E674AA" w:rsidP="00E674AA">
            <w:pPr>
              <w:widowControl/>
              <w:numPr>
                <w:ilvl w:val="0"/>
                <w:numId w:val="2"/>
              </w:numPr>
              <w:ind w:right="278"/>
              <w:jc w:val="both"/>
              <w:rPr>
                <w:rFonts w:ascii="Verdana" w:hAnsi="Verdana" w:cs="Verdana"/>
                <w:bCs/>
                <w:color w:val="000000"/>
                <w:sz w:val="20"/>
                <w:szCs w:val="20"/>
              </w:rPr>
            </w:pPr>
            <w:r>
              <w:rPr>
                <w:rFonts w:ascii="Verdana" w:hAnsi="Verdana" w:cs="Verdana"/>
                <w:b/>
                <w:bCs/>
                <w:color w:val="000000"/>
                <w:sz w:val="20"/>
                <w:szCs w:val="20"/>
              </w:rPr>
              <w:t xml:space="preserve">Toro : </w:t>
            </w:r>
            <w:r>
              <w:rPr>
                <w:rStyle w:val="msg10"/>
                <w:rFonts w:ascii="Verdana" w:hAnsi="Verdana" w:cs="Verdana"/>
                <w:sz w:val="20"/>
                <w:szCs w:val="20"/>
              </w:rPr>
              <w:t>district situé à 3100 mètres d’altitude, où vivent environ 1005 habitants. On y accède depuis Cotahuasi par la route.</w:t>
            </w:r>
          </w:p>
          <w:p w:rsidR="00E674AA" w:rsidRDefault="00E674AA" w:rsidP="00DC03F9">
            <w:pPr>
              <w:jc w:val="both"/>
              <w:rPr>
                <w:rFonts w:ascii="Verdana" w:hAnsi="Verdana" w:cs="Verdana"/>
                <w:bCs/>
                <w:color w:val="000000"/>
                <w:sz w:val="20"/>
                <w:szCs w:val="20"/>
              </w:rPr>
            </w:pPr>
          </w:p>
          <w:p w:rsidR="00E674AA" w:rsidRDefault="00E674AA" w:rsidP="00DC03F9">
            <w:pPr>
              <w:jc w:val="both"/>
              <w:rPr>
                <w:rFonts w:ascii="Verdana" w:hAnsi="Verdana" w:cs="Verdana"/>
                <w:bCs/>
                <w:color w:val="000000"/>
                <w:sz w:val="20"/>
                <w:szCs w:val="20"/>
              </w:rPr>
            </w:pPr>
          </w:p>
          <w:p w:rsidR="00E674AA" w:rsidRDefault="00E674AA" w:rsidP="00DC03F9">
            <w:pPr>
              <w:jc w:val="both"/>
              <w:rPr>
                <w:rFonts w:ascii="Verdana" w:hAnsi="Verdana" w:cs="Verdana"/>
                <w:bCs/>
                <w:color w:val="000000"/>
                <w:sz w:val="20"/>
                <w:szCs w:val="20"/>
              </w:rPr>
            </w:pPr>
            <w:r>
              <w:rPr>
                <w:rFonts w:ascii="Verdana" w:hAnsi="Verdana" w:cs="Verdana"/>
                <w:b/>
                <w:bCs/>
                <w:color w:val="000000"/>
                <w:sz w:val="20"/>
                <w:szCs w:val="20"/>
              </w:rPr>
              <w:t>Requis</w:t>
            </w:r>
          </w:p>
          <w:p w:rsidR="00E674AA" w:rsidRDefault="00E674AA" w:rsidP="00DC03F9">
            <w:pPr>
              <w:jc w:val="both"/>
              <w:rPr>
                <w:rFonts w:ascii="Verdana" w:hAnsi="Verdana" w:cs="Verdana"/>
                <w:color w:val="000000"/>
                <w:sz w:val="20"/>
                <w:szCs w:val="20"/>
              </w:rPr>
            </w:pPr>
            <w:r>
              <w:rPr>
                <w:rFonts w:ascii="Verdana" w:hAnsi="Verdana" w:cs="Verdana"/>
                <w:bCs/>
                <w:color w:val="000000"/>
                <w:sz w:val="20"/>
                <w:szCs w:val="20"/>
              </w:rPr>
              <w:t>Une connaissance basique de la langue espagnole est nécessaire afin de rendre plus facile la communication avec les habitants des différents villages.</w:t>
            </w:r>
          </w:p>
          <w:p w:rsidR="00E674AA" w:rsidRDefault="00E674AA" w:rsidP="00DC03F9">
            <w:pPr>
              <w:jc w:val="both"/>
              <w:rPr>
                <w:rFonts w:ascii="Verdana" w:hAnsi="Verdana" w:cs="Verdana"/>
                <w:color w:val="000000"/>
                <w:sz w:val="20"/>
                <w:szCs w:val="20"/>
              </w:rPr>
            </w:pPr>
          </w:p>
        </w:tc>
      </w:tr>
      <w:tr w:rsidR="00E674AA" w:rsidTr="00DC03F9">
        <w:tc>
          <w:tcPr>
            <w:tcW w:w="10437" w:type="dxa"/>
            <w:shd w:val="clear" w:color="auto" w:fill="FFFFFF"/>
            <w:vAlign w:val="center"/>
          </w:tcPr>
          <w:p w:rsidR="00E674AA" w:rsidRDefault="00E674AA" w:rsidP="00E674AA">
            <w:pPr>
              <w:spacing w:line="360" w:lineRule="auto"/>
              <w:jc w:val="both"/>
              <w:rPr>
                <w:rFonts w:ascii="Verdana" w:hAnsi="Verdana" w:cs="Verdana"/>
                <w:bCs/>
                <w:color w:val="000000"/>
                <w:sz w:val="20"/>
                <w:szCs w:val="20"/>
              </w:rPr>
            </w:pPr>
            <w:r>
              <w:rPr>
                <w:rFonts w:ascii="Verdana" w:hAnsi="Verdana" w:cs="Verdana"/>
                <w:b/>
                <w:color w:val="000000"/>
                <w:sz w:val="20"/>
                <w:szCs w:val="20"/>
              </w:rPr>
              <w:lastRenderedPageBreak/>
              <w:t>Rendez-vous et accès au chantier</w:t>
            </w:r>
          </w:p>
          <w:p w:rsidR="00E674AA" w:rsidRDefault="00E674AA" w:rsidP="00E674AA">
            <w:pPr>
              <w:spacing w:line="360" w:lineRule="auto"/>
              <w:jc w:val="both"/>
              <w:rPr>
                <w:rFonts w:ascii="Verdana" w:hAnsi="Verdana" w:cs="Verdana"/>
                <w:bCs/>
                <w:color w:val="000000"/>
                <w:sz w:val="20"/>
                <w:szCs w:val="20"/>
              </w:rPr>
            </w:pPr>
            <w:r>
              <w:rPr>
                <w:rFonts w:ascii="Verdana" w:hAnsi="Verdana" w:cs="Verdana"/>
                <w:bCs/>
                <w:color w:val="000000"/>
                <w:sz w:val="20"/>
                <w:szCs w:val="20"/>
              </w:rPr>
              <w:t xml:space="preserve">Les volontaires ont rendez-vous directement à la gare routière à Arequipa, le premier jour du chantier, pour prendre le car pour Cotahuasi. </w:t>
            </w:r>
          </w:p>
          <w:p w:rsidR="00E674AA" w:rsidRDefault="00E674AA" w:rsidP="00E674AA">
            <w:pPr>
              <w:spacing w:line="360" w:lineRule="auto"/>
              <w:jc w:val="both"/>
              <w:rPr>
                <w:rFonts w:ascii="Verdana" w:hAnsi="Verdana" w:cs="Verdana"/>
                <w:color w:val="000000"/>
                <w:sz w:val="20"/>
                <w:szCs w:val="20"/>
              </w:rPr>
            </w:pPr>
            <w:r>
              <w:rPr>
                <w:rFonts w:ascii="Verdana" w:hAnsi="Verdana" w:cs="Verdana"/>
                <w:bCs/>
                <w:color w:val="000000"/>
                <w:sz w:val="20"/>
                <w:szCs w:val="20"/>
                <w:u w:val="single"/>
              </w:rPr>
              <w:t>Voir le document « Proceso de Recepcion</w:t>
            </w:r>
            <w:r>
              <w:rPr>
                <w:rFonts w:ascii="Verdana" w:hAnsi="Verdana" w:cs="Verdana"/>
                <w:bCs/>
                <w:color w:val="000000"/>
                <w:sz w:val="20"/>
                <w:szCs w:val="20"/>
                <w:u w:val="single"/>
              </w:rPr>
              <w:t xml:space="preserve"> del voluntario</w:t>
            </w:r>
            <w:r>
              <w:rPr>
                <w:rFonts w:ascii="Verdana" w:hAnsi="Verdana" w:cs="Verdana"/>
                <w:bCs/>
                <w:color w:val="000000"/>
                <w:sz w:val="20"/>
                <w:szCs w:val="20"/>
                <w:u w:val="single"/>
              </w:rPr>
              <w:t> » pour les détails.</w:t>
            </w:r>
          </w:p>
          <w:p w:rsidR="00E674AA" w:rsidRDefault="00E674AA" w:rsidP="00E674AA">
            <w:pPr>
              <w:spacing w:line="360" w:lineRule="auto"/>
              <w:jc w:val="both"/>
              <w:rPr>
                <w:rFonts w:ascii="Verdana" w:hAnsi="Verdana" w:cs="Verdana"/>
                <w:color w:val="000000"/>
                <w:sz w:val="20"/>
                <w:szCs w:val="20"/>
              </w:rPr>
            </w:pPr>
          </w:p>
          <w:p w:rsidR="00E674AA" w:rsidRDefault="00E674AA" w:rsidP="00E674AA">
            <w:pPr>
              <w:spacing w:line="360" w:lineRule="auto"/>
              <w:jc w:val="both"/>
              <w:rPr>
                <w:rFonts w:ascii="Verdana" w:hAnsi="Verdana" w:cs="Verdana"/>
                <w:sz w:val="20"/>
                <w:szCs w:val="20"/>
              </w:rPr>
            </w:pPr>
            <w:r>
              <w:rPr>
                <w:rFonts w:ascii="Verdana" w:hAnsi="Verdana" w:cs="Verdana"/>
                <w:sz w:val="20"/>
                <w:szCs w:val="20"/>
              </w:rPr>
              <w:t>A l’arrivée à Cotahuasi, vous serez accueillis et orientés par un représentant du bureau Aedes local, pour une réunion préparatoire avant l’accès au lieu du chantier.</w:t>
            </w:r>
          </w:p>
          <w:p w:rsidR="00E674AA" w:rsidRDefault="00E674AA" w:rsidP="00E674AA">
            <w:pPr>
              <w:spacing w:line="360" w:lineRule="auto"/>
              <w:jc w:val="both"/>
              <w:rPr>
                <w:rFonts w:ascii="Verdana" w:hAnsi="Verdana" w:cs="Verdana"/>
                <w:sz w:val="20"/>
                <w:szCs w:val="20"/>
              </w:rPr>
            </w:pPr>
            <w:bookmarkStart w:id="0" w:name="_GoBack"/>
            <w:bookmarkEnd w:id="0"/>
          </w:p>
          <w:p w:rsidR="00E674AA" w:rsidRDefault="00E674AA" w:rsidP="00E674AA">
            <w:pPr>
              <w:spacing w:line="360" w:lineRule="auto"/>
              <w:jc w:val="both"/>
              <w:rPr>
                <w:rFonts w:ascii="Verdana" w:hAnsi="Verdana" w:cs="Verdana"/>
                <w:color w:val="000000"/>
                <w:sz w:val="20"/>
                <w:szCs w:val="20"/>
              </w:rPr>
            </w:pPr>
            <w:r>
              <w:rPr>
                <w:rFonts w:ascii="Verdana" w:hAnsi="Verdana" w:cs="Verdana"/>
                <w:b/>
                <w:color w:val="000000"/>
                <w:sz w:val="20"/>
                <w:szCs w:val="20"/>
              </w:rPr>
              <w:t>Frais supplémentaires sur place</w:t>
            </w:r>
          </w:p>
          <w:p w:rsidR="00E674AA" w:rsidRDefault="00E674AA" w:rsidP="00E674AA">
            <w:pPr>
              <w:spacing w:line="360" w:lineRule="auto"/>
              <w:jc w:val="both"/>
              <w:rPr>
                <w:rFonts w:ascii="Verdana" w:hAnsi="Verdana" w:cs="Verdana"/>
                <w:b/>
                <w:sz w:val="20"/>
                <w:szCs w:val="20"/>
                <w:u w:val="single"/>
              </w:rPr>
            </w:pPr>
            <w:r>
              <w:rPr>
                <w:rFonts w:ascii="Verdana" w:hAnsi="Verdana" w:cs="Verdana"/>
                <w:color w:val="000000"/>
                <w:sz w:val="20"/>
                <w:szCs w:val="20"/>
              </w:rPr>
              <w:t xml:space="preserve">Vous règlerez à votre arrivée à Cotahuasi les frais supplémentaires, </w:t>
            </w:r>
            <w:r>
              <w:rPr>
                <w:rFonts w:ascii="Verdana" w:hAnsi="Verdana" w:cs="Verdana"/>
                <w:b/>
                <w:color w:val="000000"/>
                <w:sz w:val="20"/>
                <w:szCs w:val="20"/>
              </w:rPr>
              <w:t xml:space="preserve">à remettre en devise péruvienne (sol) en espèces uniquement selon le tableau déjà envoyé et en fonction de votre durée de </w:t>
            </w:r>
            <w:r>
              <w:rPr>
                <w:rFonts w:ascii="Verdana" w:hAnsi="Verdana" w:cs="Verdana"/>
                <w:b/>
                <w:color w:val="000000"/>
                <w:sz w:val="20"/>
                <w:szCs w:val="20"/>
              </w:rPr>
              <w:lastRenderedPageBreak/>
              <w:t>volontariat,</w:t>
            </w:r>
            <w:r>
              <w:rPr>
                <w:rFonts w:ascii="Verdana" w:hAnsi="Verdana" w:cs="Verdana"/>
                <w:color w:val="000000"/>
                <w:sz w:val="20"/>
                <w:szCs w:val="20"/>
              </w:rPr>
              <w:t xml:space="preserve"> au représentant d’Aedes qui vous accueillera pour la réunion d’orientation. Ces frais couvrent les divers coûts d’organisation logistique et matérielle de votre séjour. La prise en charge débute à Arequipa et se termine au retour dans cette ville (le transport en car aller-retour Arequipa-Cotahuasi-Arequipa est inclus dans ces frais).</w:t>
            </w:r>
          </w:p>
          <w:p w:rsidR="00E674AA" w:rsidRDefault="00E674AA" w:rsidP="00E674AA">
            <w:pPr>
              <w:spacing w:line="360" w:lineRule="auto"/>
              <w:jc w:val="both"/>
              <w:rPr>
                <w:rFonts w:ascii="Verdana" w:hAnsi="Verdana" w:cs="Verdana"/>
                <w:b/>
                <w:sz w:val="20"/>
                <w:szCs w:val="20"/>
                <w:u w:val="single"/>
              </w:rPr>
            </w:pPr>
          </w:p>
          <w:p w:rsidR="00E674AA" w:rsidRDefault="00E674AA" w:rsidP="00E674AA">
            <w:pPr>
              <w:spacing w:line="360" w:lineRule="auto"/>
              <w:jc w:val="both"/>
              <w:rPr>
                <w:rFonts w:ascii="Verdana" w:hAnsi="Verdana" w:cs="Verdana"/>
                <w:b/>
                <w:sz w:val="20"/>
                <w:szCs w:val="20"/>
                <w:u w:val="single"/>
              </w:rPr>
            </w:pPr>
            <w:r>
              <w:rPr>
                <w:rFonts w:ascii="Verdana" w:hAnsi="Verdana" w:cs="Verdana"/>
                <w:color w:val="000000"/>
                <w:sz w:val="20"/>
                <w:szCs w:val="20"/>
              </w:rPr>
              <w:t>Frais supplémentaires de 148€, pour une durée de 1 semaine (minimum requis). Vous règlerez à votre arrivée ces frais supplémentaires au représentant d’Aedes qui vous accueillera à Cotahuasi. Ces frais couvrent les divers coûts d’organisation logistique et matérielle de votre séjour, ainsi que l’hébergement et la nourriture. La prise en charge débute à Arequipa et se termine au retour dans cette ville (le transport en car aller-retour Arequipa-Cotahuasi-Arequipa est inclus). Autres durées et frais supplémentaires : 245€ pour 2 semaines ; 300€ pour 3 semaines ; 365 € pour 1 mois puis 65 € par semaine supplémentaires (maxi 3 mois). Projet permanent, date d’arrivée et durée de volontariat libres, ouvert toute l’année (les participants peuvent être en petit nombre du fait de l’étalement des arrivées).</w:t>
            </w:r>
          </w:p>
          <w:p w:rsidR="00E674AA" w:rsidRDefault="00E674AA" w:rsidP="00E674AA">
            <w:pPr>
              <w:spacing w:line="360" w:lineRule="auto"/>
              <w:jc w:val="both"/>
              <w:rPr>
                <w:rFonts w:ascii="Verdana" w:hAnsi="Verdana" w:cs="Verdana"/>
                <w:b/>
                <w:sz w:val="20"/>
                <w:szCs w:val="20"/>
                <w:u w:val="single"/>
              </w:rPr>
            </w:pPr>
          </w:p>
          <w:p w:rsidR="00E674AA" w:rsidRDefault="00E674AA" w:rsidP="00E674AA">
            <w:pPr>
              <w:spacing w:line="360" w:lineRule="auto"/>
              <w:jc w:val="both"/>
              <w:rPr>
                <w:rFonts w:ascii="Verdana" w:hAnsi="Verdana" w:cs="Verdana"/>
                <w:color w:val="000000"/>
                <w:sz w:val="20"/>
                <w:szCs w:val="20"/>
              </w:rPr>
            </w:pPr>
          </w:p>
        </w:tc>
      </w:tr>
    </w:tbl>
    <w:p w:rsidR="00F615C9" w:rsidRDefault="00F615C9">
      <w:pPr>
        <w:pStyle w:val="NormalWeb"/>
        <w:spacing w:after="0"/>
      </w:pPr>
    </w:p>
    <w:sectPr w:rsidR="00F615C9">
      <w:headerReference w:type="default" r:id="rId7"/>
      <w:footerReference w:type="default" r:id="rId8"/>
      <w:pgSz w:w="11906" w:h="16838"/>
      <w:pgMar w:top="1920" w:right="1134" w:bottom="1672" w:left="1134" w:header="315" w:footer="1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5C9" w:rsidRDefault="00F615C9">
      <w:r>
        <w:separator/>
      </w:r>
    </w:p>
  </w:endnote>
  <w:endnote w:type="continuationSeparator" w:id="0">
    <w:p w:rsidR="00F615C9" w:rsidRDefault="00F6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appy Monkey">
    <w:panose1 w:val="02000500000000020004"/>
    <w:charset w:val="00"/>
    <w:family w:val="auto"/>
    <w:pitch w:val="variable"/>
    <w:sig w:usb0="8000002F" w:usb1="1000000A"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B1D" w:rsidRPr="00E674AA" w:rsidRDefault="009D27A9">
    <w:pPr>
      <w:pStyle w:val="Pieddepage"/>
      <w:jc w:val="center"/>
      <w:rPr>
        <w:rFonts w:ascii="Corbel" w:hAnsi="Corbel"/>
        <w:color w:val="FF0000"/>
        <w:sz w:val="20"/>
        <w:szCs w:val="22"/>
      </w:rPr>
    </w:pPr>
    <w:r w:rsidRPr="00E674AA">
      <w:rPr>
        <w:noProof/>
        <w:sz w:val="22"/>
        <w:lang w:val="fr-FR" w:eastAsia="fr-FR" w:bidi="ar-SA"/>
      </w:rPr>
      <mc:AlternateContent>
        <mc:Choice Requires="wps">
          <w:drawing>
            <wp:anchor distT="0" distB="0" distL="114300" distR="114300" simplePos="0" relativeHeight="251657216" behindDoc="0" locked="0" layoutInCell="1" allowOverlap="1" wp14:anchorId="71CDDC5C" wp14:editId="018BB4CE">
              <wp:simplePos x="0" y="0"/>
              <wp:positionH relativeFrom="column">
                <wp:posOffset>1013460</wp:posOffset>
              </wp:positionH>
              <wp:positionV relativeFrom="paragraph">
                <wp:posOffset>67945</wp:posOffset>
              </wp:positionV>
              <wp:extent cx="4140835" cy="36195"/>
              <wp:effectExtent l="13335" t="10795" r="825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835" cy="36195"/>
                      </a:xfrm>
                      <a:prstGeom prst="rect">
                        <a:avLst/>
                      </a:prstGeom>
                      <a:solidFill>
                        <a:srgbClr val="FF0000"/>
                      </a:solidFill>
                      <a:ln w="9525" cap="flat">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A886AA" id="Rectangle 1" o:spid="_x0000_s1026" style="position:absolute;margin-left:79.8pt;margin-top:5.35pt;width:326.05pt;height:2.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" fillcolor="red" strokecolor="gray">
              <v:stroke joinstyle="round"/>
            </v:rect>
          </w:pict>
        </mc:Fallback>
      </mc:AlternateConten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4"/>
      <w:gridCol w:w="8505"/>
      <w:gridCol w:w="586"/>
    </w:tblGrid>
    <w:tr w:rsidR="00FC5B1D" w:rsidRPr="00E674AA">
      <w:trPr>
        <w:cantSplit/>
      </w:trPr>
      <w:tc>
        <w:tcPr>
          <w:tcW w:w="554" w:type="dxa"/>
          <w:shd w:val="clear" w:color="auto" w:fill="auto"/>
        </w:tcPr>
        <w:p w:rsidR="00FC5B1D" w:rsidRPr="00E674AA" w:rsidRDefault="00FC5B1D">
          <w:pPr>
            <w:pStyle w:val="Contenudetableau"/>
            <w:jc w:val="center"/>
            <w:rPr>
              <w:rFonts w:ascii="Corbel" w:hAnsi="Corbel"/>
              <w:sz w:val="20"/>
              <w:szCs w:val="22"/>
            </w:rPr>
          </w:pPr>
        </w:p>
      </w:tc>
      <w:tc>
        <w:tcPr>
          <w:tcW w:w="8505" w:type="dxa"/>
          <w:shd w:val="clear" w:color="auto" w:fill="auto"/>
        </w:tcPr>
        <w:p w:rsidR="00FC5B1D" w:rsidRPr="00E674AA" w:rsidRDefault="00F615C9">
          <w:pPr>
            <w:pStyle w:val="Pieddepage"/>
            <w:jc w:val="center"/>
            <w:rPr>
              <w:rFonts w:ascii="Corbel" w:hAnsi="Corbel"/>
              <w:color w:val="FF0000"/>
              <w:sz w:val="20"/>
              <w:szCs w:val="22"/>
              <w:u w:val="single"/>
            </w:rPr>
          </w:pPr>
          <w:r w:rsidRPr="00E674AA">
            <w:rPr>
              <w:rFonts w:ascii="Corbel" w:hAnsi="Corbel"/>
              <w:color w:val="FF0000"/>
              <w:sz w:val="20"/>
              <w:szCs w:val="22"/>
            </w:rPr>
            <w:t>30 Rue des Capucins – 1000 Bruxelles</w:t>
          </w:r>
        </w:p>
        <w:p w:rsidR="00FC5B1D" w:rsidRPr="00E674AA" w:rsidRDefault="00F615C9">
          <w:pPr>
            <w:pStyle w:val="Pieddepage"/>
            <w:ind w:firstLine="285"/>
            <w:jc w:val="center"/>
            <w:rPr>
              <w:rFonts w:ascii="Corbel" w:hAnsi="Corbel"/>
              <w:i/>
              <w:iCs/>
              <w:color w:val="FF0000"/>
              <w:sz w:val="20"/>
              <w:szCs w:val="22"/>
            </w:rPr>
          </w:pPr>
          <w:r w:rsidRPr="00E674AA">
            <w:rPr>
              <w:rFonts w:ascii="Corbel" w:hAnsi="Corbel"/>
              <w:color w:val="FF0000"/>
              <w:sz w:val="20"/>
              <w:szCs w:val="22"/>
              <w:u w:val="single"/>
            </w:rPr>
            <w:t>BE</w:t>
          </w:r>
          <w:r w:rsidRPr="00E674AA">
            <w:rPr>
              <w:rFonts w:ascii="Corbel" w:hAnsi="Corbel"/>
              <w:color w:val="FF0000"/>
              <w:sz w:val="20"/>
              <w:szCs w:val="22"/>
            </w:rPr>
            <w:t xml:space="preserve">: +32 (0)2 888 67 13  </w:t>
          </w:r>
          <w:r w:rsidRPr="00E674AA">
            <w:rPr>
              <w:rFonts w:ascii="Corbel" w:hAnsi="Corbel"/>
              <w:color w:val="FF0000"/>
              <w:sz w:val="20"/>
              <w:szCs w:val="22"/>
              <w:u w:val="single"/>
            </w:rPr>
            <w:t>FR</w:t>
          </w:r>
          <w:r w:rsidRPr="00E674AA">
            <w:rPr>
              <w:rFonts w:ascii="Corbel" w:hAnsi="Corbel"/>
              <w:color w:val="FF0000"/>
              <w:sz w:val="20"/>
              <w:szCs w:val="22"/>
            </w:rPr>
            <w:t xml:space="preserve">: +33 (0)3 66 72 90 20  </w:t>
          </w:r>
          <w:r w:rsidRPr="00E674AA">
            <w:rPr>
              <w:rFonts w:ascii="Corbel" w:hAnsi="Corbel"/>
              <w:color w:val="FF0000"/>
              <w:sz w:val="20"/>
              <w:szCs w:val="22"/>
              <w:u w:val="single"/>
            </w:rPr>
            <w:t>CH</w:t>
          </w:r>
          <w:r w:rsidRPr="00E674AA">
            <w:rPr>
              <w:rFonts w:ascii="Corbel" w:hAnsi="Corbel"/>
              <w:color w:val="FF0000"/>
              <w:sz w:val="20"/>
              <w:szCs w:val="22"/>
            </w:rPr>
            <w:t xml:space="preserve">: +41 (0)3 25 11 07 31 </w:t>
          </w:r>
        </w:p>
        <w:p w:rsidR="00FC5B1D" w:rsidRPr="00E674AA" w:rsidRDefault="00F615C9">
          <w:pPr>
            <w:pStyle w:val="Pieddepage"/>
            <w:spacing w:line="100" w:lineRule="atLeast"/>
            <w:jc w:val="center"/>
            <w:rPr>
              <w:rFonts w:ascii="Corbel" w:hAnsi="Corbel"/>
              <w:sz w:val="20"/>
              <w:szCs w:val="22"/>
            </w:rPr>
          </w:pPr>
          <w:r w:rsidRPr="00E674AA">
            <w:rPr>
              <w:rFonts w:ascii="Corbel" w:hAnsi="Corbel"/>
              <w:i/>
              <w:iCs/>
              <w:color w:val="FF0000"/>
              <w:sz w:val="20"/>
              <w:szCs w:val="22"/>
            </w:rPr>
            <w:t>info@servicevolontaire.org</w:t>
          </w:r>
        </w:p>
      </w:tc>
      <w:tc>
        <w:tcPr>
          <w:tcW w:w="586" w:type="dxa"/>
          <w:shd w:val="clear" w:color="auto" w:fill="auto"/>
        </w:tcPr>
        <w:p w:rsidR="00FC5B1D" w:rsidRPr="00E674AA" w:rsidRDefault="00FC5B1D">
          <w:pPr>
            <w:pStyle w:val="Contenudetableau"/>
            <w:jc w:val="center"/>
            <w:rPr>
              <w:rFonts w:ascii="Corbel" w:hAnsi="Corbel"/>
              <w:sz w:val="20"/>
              <w:szCs w:val="22"/>
            </w:rPr>
          </w:pPr>
        </w:p>
        <w:p w:rsidR="00FC5B1D" w:rsidRPr="00E674AA" w:rsidRDefault="00F615C9">
          <w:pPr>
            <w:pStyle w:val="Contenudetableau"/>
            <w:jc w:val="center"/>
            <w:rPr>
              <w:sz w:val="22"/>
            </w:rPr>
          </w:pPr>
          <w:r w:rsidRPr="00E674AA">
            <w:rPr>
              <w:sz w:val="20"/>
              <w:szCs w:val="22"/>
            </w:rPr>
            <w:fldChar w:fldCharType="begin"/>
          </w:r>
          <w:r w:rsidRPr="00E674AA">
            <w:rPr>
              <w:sz w:val="20"/>
              <w:szCs w:val="22"/>
            </w:rPr>
            <w:instrText xml:space="preserve"> PAGE </w:instrText>
          </w:r>
          <w:r w:rsidRPr="00E674AA">
            <w:rPr>
              <w:sz w:val="20"/>
              <w:szCs w:val="22"/>
            </w:rPr>
            <w:fldChar w:fldCharType="separate"/>
          </w:r>
          <w:r w:rsidR="00E674AA">
            <w:rPr>
              <w:noProof/>
              <w:sz w:val="20"/>
              <w:szCs w:val="22"/>
            </w:rPr>
            <w:t>1</w:t>
          </w:r>
          <w:r w:rsidRPr="00E674AA">
            <w:rPr>
              <w:sz w:val="20"/>
              <w:szCs w:val="22"/>
            </w:rPr>
            <w:fldChar w:fldCharType="end"/>
          </w:r>
          <w:r w:rsidRPr="00E674AA">
            <w:rPr>
              <w:rFonts w:ascii="Corbel" w:hAnsi="Corbel"/>
              <w:sz w:val="20"/>
              <w:szCs w:val="22"/>
            </w:rPr>
            <w:t>/</w:t>
          </w:r>
          <w:r w:rsidRPr="00E674AA">
            <w:rPr>
              <w:sz w:val="20"/>
              <w:szCs w:val="22"/>
            </w:rPr>
            <w:fldChar w:fldCharType="begin"/>
          </w:r>
          <w:r w:rsidRPr="00E674AA">
            <w:rPr>
              <w:sz w:val="20"/>
              <w:szCs w:val="22"/>
            </w:rPr>
            <w:instrText xml:space="preserve"> NUMPAGES </w:instrText>
          </w:r>
          <w:r w:rsidRPr="00E674AA">
            <w:rPr>
              <w:sz w:val="20"/>
              <w:szCs w:val="22"/>
            </w:rPr>
            <w:fldChar w:fldCharType="separate"/>
          </w:r>
          <w:r w:rsidR="00E674AA">
            <w:rPr>
              <w:noProof/>
              <w:sz w:val="20"/>
              <w:szCs w:val="22"/>
            </w:rPr>
            <w:t>3</w:t>
          </w:r>
          <w:r w:rsidRPr="00E674AA">
            <w:rPr>
              <w:sz w:val="20"/>
              <w:szCs w:val="22"/>
            </w:rPr>
            <w:fldChar w:fldCharType="end"/>
          </w:r>
        </w:p>
      </w:tc>
    </w:tr>
  </w:tbl>
  <w:p w:rsidR="00FC5B1D" w:rsidRDefault="00FC5B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5C9" w:rsidRDefault="00F615C9">
      <w:r>
        <w:separator/>
      </w:r>
    </w:p>
  </w:footnote>
  <w:footnote w:type="continuationSeparator" w:id="0">
    <w:p w:rsidR="00F615C9" w:rsidRDefault="00F61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B1D" w:rsidRDefault="009D27A9">
    <w:pPr>
      <w:pStyle w:val="En-tte"/>
      <w:tabs>
        <w:tab w:val="clear" w:pos="4819"/>
        <w:tab w:val="clear" w:pos="9638"/>
        <w:tab w:val="center" w:pos="4849"/>
        <w:tab w:val="right" w:pos="9668"/>
      </w:tabs>
      <w:ind w:left="30"/>
    </w:pPr>
    <w:r>
      <w:rPr>
        <w:noProof/>
        <w:lang w:val="fr-FR" w:eastAsia="fr-FR" w:bidi="ar-SA"/>
      </w:rPr>
      <w:drawing>
        <wp:anchor distT="0" distB="0" distL="0" distR="0" simplePos="0" relativeHeight="251658240" behindDoc="1" locked="0" layoutInCell="1" allowOverlap="1">
          <wp:simplePos x="0" y="0"/>
          <wp:positionH relativeFrom="column">
            <wp:posOffset>1942465</wp:posOffset>
          </wp:positionH>
          <wp:positionV relativeFrom="paragraph">
            <wp:posOffset>0</wp:posOffset>
          </wp:positionV>
          <wp:extent cx="2206625" cy="8388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6625" cy="838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212"/>
      <w:gridCol w:w="3213"/>
      <w:gridCol w:w="3190"/>
    </w:tblGrid>
    <w:tr w:rsidR="00FC5B1D">
      <w:trPr>
        <w:cantSplit/>
      </w:trPr>
      <w:tc>
        <w:tcPr>
          <w:tcW w:w="3212" w:type="dxa"/>
          <w:shd w:val="clear" w:color="auto" w:fill="auto"/>
        </w:tcPr>
        <w:p w:rsidR="00FC5B1D" w:rsidRDefault="00F615C9">
          <w:pPr>
            <w:pStyle w:val="En-tte"/>
            <w:rPr>
              <w:rFonts w:ascii="Happy Monkey" w:hAnsi="Happy Monkey"/>
              <w:sz w:val="22"/>
              <w:szCs w:val="22"/>
            </w:rPr>
          </w:pPr>
          <w:r>
            <w:rPr>
              <w:rFonts w:ascii="Corbel" w:hAnsi="Corbel"/>
              <w:sz w:val="22"/>
              <w:szCs w:val="22"/>
            </w:rPr>
            <w:t xml:space="preserve"> </w:t>
          </w:r>
        </w:p>
        <w:p w:rsidR="00FC5B1D" w:rsidRDefault="00F615C9">
          <w:pPr>
            <w:pStyle w:val="En-tte"/>
            <w:pBdr>
              <w:bottom w:val="single" w:sz="1" w:space="2" w:color="000000"/>
            </w:pBdr>
            <w:rPr>
              <w:rFonts w:ascii="Corbel" w:hAnsi="Corbel"/>
              <w:sz w:val="22"/>
              <w:szCs w:val="22"/>
            </w:rPr>
          </w:pPr>
          <w:r>
            <w:rPr>
              <w:rFonts w:ascii="Happy Monkey" w:hAnsi="Happy Monkey"/>
              <w:sz w:val="22"/>
              <w:szCs w:val="22"/>
            </w:rPr>
            <w:t xml:space="preserve">«Bouscule tes horizons,  </w:t>
          </w:r>
        </w:p>
        <w:p w:rsidR="00FC5B1D" w:rsidRDefault="00FC5B1D">
          <w:pPr>
            <w:pStyle w:val="En-tte"/>
            <w:rPr>
              <w:rFonts w:ascii="Corbel" w:hAnsi="Corbel"/>
              <w:sz w:val="22"/>
              <w:szCs w:val="22"/>
            </w:rPr>
          </w:pPr>
        </w:p>
      </w:tc>
      <w:tc>
        <w:tcPr>
          <w:tcW w:w="3213" w:type="dxa"/>
          <w:shd w:val="clear" w:color="auto" w:fill="auto"/>
        </w:tcPr>
        <w:p w:rsidR="00FC5B1D" w:rsidRDefault="00FC5B1D">
          <w:pPr>
            <w:pStyle w:val="Contenudetableau"/>
            <w:rPr>
              <w:rFonts w:ascii="Corbel" w:hAnsi="Corbel"/>
              <w:sz w:val="22"/>
              <w:szCs w:val="22"/>
            </w:rPr>
          </w:pPr>
        </w:p>
      </w:tc>
      <w:tc>
        <w:tcPr>
          <w:tcW w:w="3190" w:type="dxa"/>
          <w:shd w:val="clear" w:color="auto" w:fill="auto"/>
        </w:tcPr>
        <w:p w:rsidR="00FC5B1D" w:rsidRDefault="00FC5B1D">
          <w:pPr>
            <w:pStyle w:val="Contenudetableau"/>
            <w:rPr>
              <w:rFonts w:ascii="Corbel" w:hAnsi="Corbel"/>
              <w:sz w:val="22"/>
              <w:szCs w:val="22"/>
            </w:rPr>
          </w:pPr>
        </w:p>
        <w:p w:rsidR="00FC5B1D" w:rsidRDefault="00F615C9">
          <w:pPr>
            <w:pStyle w:val="En-tte"/>
            <w:pBdr>
              <w:bottom w:val="single" w:sz="1" w:space="2" w:color="000000"/>
            </w:pBdr>
            <w:tabs>
              <w:tab w:val="clear" w:pos="4819"/>
              <w:tab w:val="clear" w:pos="9638"/>
              <w:tab w:val="center" w:pos="4849"/>
              <w:tab w:val="right" w:pos="9668"/>
            </w:tabs>
            <w:ind w:left="30"/>
            <w:rPr>
              <w:rFonts w:ascii="Corbel" w:hAnsi="Corbel"/>
              <w:sz w:val="22"/>
              <w:szCs w:val="22"/>
            </w:rPr>
          </w:pPr>
          <w:r>
            <w:rPr>
              <w:rFonts w:ascii="Happy Monkey" w:hAnsi="Happy Monkey"/>
              <w:sz w:val="22"/>
              <w:szCs w:val="22"/>
            </w:rPr>
            <w:t xml:space="preserve">    Implique-toi à l'étranger !»</w:t>
          </w:r>
        </w:p>
        <w:p w:rsidR="00FC5B1D" w:rsidRDefault="00FC5B1D">
          <w:pPr>
            <w:pStyle w:val="En-tte"/>
            <w:tabs>
              <w:tab w:val="clear" w:pos="4819"/>
              <w:tab w:val="clear" w:pos="9638"/>
              <w:tab w:val="center" w:pos="4849"/>
              <w:tab w:val="right" w:pos="9668"/>
            </w:tabs>
            <w:ind w:left="30"/>
            <w:rPr>
              <w:rFonts w:ascii="Corbel" w:hAnsi="Corbel"/>
              <w:sz w:val="22"/>
              <w:szCs w:val="22"/>
            </w:rPr>
          </w:pPr>
        </w:p>
      </w:tc>
    </w:tr>
  </w:tbl>
  <w:p w:rsidR="00FC5B1D" w:rsidRDefault="00FC5B1D">
    <w:pPr>
      <w:suppressLineNumbers/>
      <w:tabs>
        <w:tab w:val="center" w:pos="4819"/>
        <w:tab w:val="right" w:pos="9638"/>
      </w:tabs>
    </w:pPr>
  </w:p>
  <w:p w:rsidR="00FC5B1D" w:rsidRDefault="00FC5B1D">
    <w:pPr>
      <w:suppressLineNumbers/>
      <w:tabs>
        <w:tab w:val="center" w:pos="3679"/>
        <w:tab w:val="right" w:pos="8498"/>
      </w:tabs>
      <w:ind w:left="-1140"/>
      <w:rPr>
        <w:rFonts w:ascii="Happy Monkey" w:hAnsi="Happy Monkey"/>
        <w:sz w:val="22"/>
        <w:szCs w:val="22"/>
      </w:rPr>
    </w:pPr>
  </w:p>
  <w:p w:rsidR="00FC5B1D" w:rsidRPr="00E674AA" w:rsidRDefault="00FC5B1D">
    <w:pPr>
      <w:pStyle w:val="En-tte"/>
      <w:tabs>
        <w:tab w:val="clear" w:pos="4819"/>
        <w:tab w:val="clear" w:pos="9638"/>
        <w:tab w:val="center" w:pos="3679"/>
        <w:tab w:val="right" w:pos="8498"/>
      </w:tabs>
      <w:ind w:left="-1140"/>
      <w:rPr>
        <w:rFonts w:ascii="Corbel" w:hAnsi="Corbel"/>
        <w:color w:val="000000"/>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numFmt w:val="bullet"/>
      <w:lvlText w:val="-"/>
      <w:lvlJc w:val="left"/>
      <w:pPr>
        <w:tabs>
          <w:tab w:val="num" w:pos="900"/>
        </w:tabs>
        <w:ind w:left="900" w:hanging="360"/>
      </w:pPr>
      <w:rPr>
        <w:rFonts w:ascii="Verdana" w:hAnsi="Verdana" w:cs="Times New Roman" w:hint="default"/>
        <w:b/>
        <w:color w:val="000000"/>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A9"/>
    <w:rsid w:val="009D27A9"/>
    <w:rsid w:val="00E674AA"/>
    <w:rsid w:val="00F615C9"/>
    <w:rsid w:val="00FC5B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8752F65E-22BB-43CD-8D63-14A027D9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val="fr-BE" w:eastAsia="hi-IN" w:bidi="hi-IN"/>
    </w:rPr>
  </w:style>
  <w:style w:type="paragraph" w:styleId="Titre1">
    <w:name w:val="heading 1"/>
    <w:basedOn w:val="Titre10"/>
    <w:next w:val="Corpsdetexte"/>
    <w:qFormat/>
    <w:pPr>
      <w:numPr>
        <w:numId w:val="1"/>
      </w:numPr>
      <w:outlineLvl w:val="0"/>
    </w:pPr>
    <w:rPr>
      <w:b/>
      <w:bCs/>
      <w:sz w:val="32"/>
      <w:szCs w:val="32"/>
    </w:rPr>
  </w:style>
  <w:style w:type="paragraph" w:styleId="Titre2">
    <w:name w:val="heading 2"/>
    <w:basedOn w:val="Titre10"/>
    <w:next w:val="Corpsdetexte"/>
    <w:qFormat/>
    <w:pPr>
      <w:numPr>
        <w:ilvl w:val="1"/>
        <w:numId w:val="1"/>
      </w:numPr>
      <w:outlineLvl w:val="1"/>
    </w:pPr>
    <w:rPr>
      <w:b/>
      <w:bCs/>
      <w:i/>
      <w:iCs/>
    </w:rPr>
  </w:style>
  <w:style w:type="paragraph" w:styleId="Titre3">
    <w:name w:val="heading 3"/>
    <w:basedOn w:val="Titre10"/>
    <w:next w:val="Corpsdetexte"/>
    <w:qFormat/>
    <w:pPr>
      <w:numPr>
        <w:ilvl w:val="2"/>
        <w:numId w:val="1"/>
      </w:numP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80"/>
      <w:u w:val="single"/>
    </w:rPr>
  </w:style>
  <w:style w:type="character" w:customStyle="1" w:styleId="Caractresdenotedebasdepage">
    <w:name w:val="Caractères de note de bas de page"/>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pPr>
      <w:suppressLineNumbers/>
      <w:tabs>
        <w:tab w:val="center" w:pos="4819"/>
        <w:tab w:val="right" w:pos="9638"/>
      </w:tabs>
    </w:pPr>
  </w:style>
  <w:style w:type="paragraph" w:customStyle="1" w:styleId="Contenuducadre">
    <w:name w:val="Contenu du cadre"/>
    <w:basedOn w:val="Corpsdetexte"/>
  </w:style>
  <w:style w:type="paragraph" w:customStyle="1" w:styleId="Lignehorizontale">
    <w:name w:val="Ligne horizontale"/>
    <w:basedOn w:val="Normal"/>
    <w:next w:val="Corpsdetexte"/>
    <w:pPr>
      <w:suppressLineNumbers/>
      <w:pBdr>
        <w:bottom w:val="double" w:sz="1" w:space="0" w:color="808080"/>
      </w:pBdr>
      <w:spacing w:after="283"/>
    </w:pPr>
    <w:rPr>
      <w:sz w:val="12"/>
      <w:szCs w:val="12"/>
    </w:rPr>
  </w:style>
  <w:style w:type="paragraph" w:styleId="Pieddepage">
    <w:name w:val="footer"/>
    <w:basedOn w:val="Normal"/>
    <w:pPr>
      <w:suppressLineNumbers/>
      <w:tabs>
        <w:tab w:val="center" w:pos="4819"/>
        <w:tab w:val="right" w:pos="9638"/>
      </w:tabs>
    </w:pPr>
  </w:style>
  <w:style w:type="paragraph" w:styleId="Titre">
    <w:name w:val="Title"/>
    <w:basedOn w:val="Titre10"/>
    <w:next w:val="Sous-titre"/>
    <w:qFormat/>
    <w:pPr>
      <w:jc w:val="center"/>
    </w:pPr>
    <w:rPr>
      <w:b/>
      <w:bCs/>
      <w:sz w:val="36"/>
      <w:szCs w:val="36"/>
    </w:rPr>
  </w:style>
  <w:style w:type="paragraph" w:styleId="Sous-titre">
    <w:name w:val="Subtitle"/>
    <w:basedOn w:val="Titre10"/>
    <w:next w:val="Corpsdetexte"/>
    <w:qFormat/>
    <w:pPr>
      <w:jc w:val="center"/>
    </w:pPr>
    <w:rPr>
      <w:i/>
      <w:iCs/>
    </w:rPr>
  </w:style>
  <w:style w:type="paragraph" w:customStyle="1" w:styleId="Texte">
    <w:name w:val="Texte"/>
    <w:basedOn w:val="Lgende1"/>
  </w:style>
  <w:style w:type="paragraph" w:customStyle="1" w:styleId="Interligne">
    <w:name w:val="Interligne"/>
    <w:basedOn w:val="Normal"/>
    <w:pPr>
      <w:spacing w:line="100" w:lineRule="atLeast"/>
    </w:pPr>
    <w:rPr>
      <w:rFonts w:ascii="Happy Monkey" w:hAnsi="Happy Monkey"/>
      <w:b/>
      <w:bCs/>
      <w:sz w:val="40"/>
      <w:szCs w:val="4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rmalWeb">
    <w:name w:val="Normal (Web)"/>
    <w:basedOn w:val="Normal"/>
    <w:pPr>
      <w:spacing w:after="280"/>
    </w:pPr>
    <w:rPr>
      <w:rFonts w:ascii="Arial" w:hAnsi="Arial" w:cs="Arial"/>
      <w:sz w:val="20"/>
      <w:szCs w:val="20"/>
    </w:rPr>
  </w:style>
  <w:style w:type="character" w:customStyle="1" w:styleId="msg10">
    <w:name w:val="msg10"/>
    <w:rsid w:val="00E674AA"/>
    <w:rPr>
      <w:rFonts w:cs="Times New Roman"/>
    </w:rPr>
  </w:style>
  <w:style w:type="character" w:customStyle="1" w:styleId="msg">
    <w:name w:val="msg"/>
    <w:rsid w:val="00E674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6230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Volontariat, bénévolat</dc:subject>
  <dc:creator>Pierre De Hanscutter</dc:creator>
  <cp:keywords>Volontariat, bénévolat</cp:keywords>
  <cp:lastModifiedBy>admin</cp:lastModifiedBy>
  <cp:revision>2</cp:revision>
  <cp:lastPrinted>1899-12-31T23:00:00Z</cp:lastPrinted>
  <dcterms:created xsi:type="dcterms:W3CDTF">2014-03-10T11:03:00Z</dcterms:created>
  <dcterms:modified xsi:type="dcterms:W3CDTF">2014-03-10T11:03:00Z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info@servicevolontaire.org</vt:lpwstr>
  </property>
  <property fmtid="{D5CDD505-2E9C-101B-9397-08002B2CF9AE}" pid="3" name="Langue">
    <vt:lpwstr>Français</vt:lpwstr>
  </property>
  <property fmtid="{D5CDD505-2E9C-101B-9397-08002B2CF9AE}" pid="4" name="Numéro de téléphone">
    <vt:lpwstr>+32 2 888 67 13</vt:lpwstr>
  </property>
  <property fmtid="{D5CDD505-2E9C-101B-9397-08002B2CF9AE}" pid="5" name="Numéro du document">
    <vt:lpwstr>+33 3 66 72 90 20</vt:lpwstr>
  </property>
  <property fmtid="{D5CDD505-2E9C-101B-9397-08002B2CF9AE}" pid="6" name="Propriétaire">
    <vt:lpwstr>Service Volontaire International asbl</vt:lpwstr>
  </property>
  <property fmtid="{D5CDD505-2E9C-101B-9397-08002B2CF9AE}" pid="7" name="URL">
    <vt:lpwstr>www.servicevolontaire.org</vt:lpwstr>
  </property>
</Properties>
</file>